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14655" w14:paraId="24C7930D" w14:textId="77777777" w:rsidTr="00514655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514655" w14:paraId="3F2174F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68ABD6"/>
                    <w:left w:val="single" w:sz="8" w:space="0" w:color="68ABD6"/>
                    <w:bottom w:val="single" w:sz="8" w:space="0" w:color="68ABD6"/>
                    <w:right w:val="single" w:sz="8" w:space="0" w:color="68ABD6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7D4F394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3006509C" w14:textId="77777777" w:rsidR="00514655" w:rsidRDefault="00514655">
                        <w:pPr>
                          <w:pStyle w:val="a4"/>
                          <w:jc w:val="center"/>
                        </w:pPr>
                        <w:bookmarkStart w:id="0" w:name="_GoBack"/>
                        <w:bookmarkEnd w:id="0"/>
                        <w:r>
                          <w:t> </w:t>
                        </w:r>
                      </w:p>
                    </w:tc>
                  </w:tr>
                </w:tbl>
                <w:p w14:paraId="63553301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76A607C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4655" w14:paraId="5258F98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5692A1E0" w14:textId="77777777" w:rsidR="00514655" w:rsidRDefault="00514655">
                              <w:pPr>
                                <w:pStyle w:val="a4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12AEDD" wp14:editId="38CB0600">
                                    <wp:extent cx="1314450" cy="733425"/>
                                    <wp:effectExtent l="0" t="0" r="0" b="9525"/>
                                    <wp:docPr id="1" name="Рисунок 1" descr="Изображение выглядит как прямоугольный, дизайн&#10;&#10;Автоматически созданное описание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A6959C7" w14:textId="77777777" w:rsidR="00514655" w:rsidRDefault="005146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861B83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1398CEF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4655" w14:paraId="227669A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5DA5AE9" w14:textId="77777777" w:rsidR="00514655" w:rsidRDefault="00514655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6th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International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Conference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on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Advancements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Social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Management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Sciences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</w:p>
                            <w:p w14:paraId="04DE932F" w14:textId="77777777" w:rsidR="00514655" w:rsidRDefault="00514655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03E30"/>
                                  <w:sz w:val="42"/>
                                  <w:szCs w:val="42"/>
                                </w:rPr>
                                <w:t>(ASBMSR-2023)</w:t>
                              </w:r>
                            </w:p>
                            <w:p w14:paraId="69C1332F" w14:textId="77777777" w:rsidR="00514655" w:rsidRDefault="00514655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CC9933"/>
                                  <w:sz w:val="42"/>
                                  <w:szCs w:val="42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C9933"/>
                                  <w:sz w:val="42"/>
                                  <w:szCs w:val="42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C9933"/>
                                  <w:sz w:val="42"/>
                                  <w:szCs w:val="42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C9933"/>
                                  <w:sz w:val="42"/>
                                  <w:szCs w:val="42"/>
                                </w:rPr>
                                <w:t>February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color w:val="CC9933"/>
                                  <w:sz w:val="42"/>
                                  <w:szCs w:val="42"/>
                                </w:rPr>
                                <w:t xml:space="preserve"> 17-18, 2024</w:t>
                              </w:r>
                            </w:p>
                            <w:p w14:paraId="33D58C5C" w14:textId="77777777" w:rsidR="00514655" w:rsidRDefault="00514655">
                              <w:pPr>
                                <w:pStyle w:val="a4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C9933"/>
                                  <w:sz w:val="27"/>
                                  <w:szCs w:val="27"/>
                                  <w:shd w:val="clear" w:color="auto" w:fill="FFFFFF"/>
                                </w:rPr>
                                <w:t>Venue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C9933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Hotel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Mystays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Ochanomizu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Conference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Tokyo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C03E30"/>
                                  <w:sz w:val="27"/>
                                  <w:szCs w:val="27"/>
                                  <w:shd w:val="clear" w:color="auto" w:fill="FFFFFF"/>
                                </w:rPr>
                                <w:t>Japan</w:t>
                              </w:r>
                              <w:proofErr w:type="spellEnd"/>
                            </w:p>
                          </w:tc>
                        </w:tr>
                      </w:tbl>
                      <w:p w14:paraId="33C12442" w14:textId="77777777" w:rsidR="00514655" w:rsidRDefault="005146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48D583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550DF4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4655" w14:paraId="08B9CFC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4D33DF20" w14:textId="77777777" w:rsidR="00514655" w:rsidRDefault="00514655">
                              <w:pPr>
                                <w:pStyle w:val="1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Exploring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Disciplinary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Interdisciplinary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Approaches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within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across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various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Fields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Social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Management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664D1B"/>
                                  <w:sz w:val="27"/>
                                  <w:szCs w:val="27"/>
                                </w:rPr>
                                <w:t>Research</w:t>
                              </w:r>
                              <w:proofErr w:type="spellEnd"/>
                            </w:p>
                            <w:p w14:paraId="5A03B4FA" w14:textId="77777777" w:rsidR="00514655" w:rsidRDefault="00514655">
                              <w:pPr>
                                <w:pStyle w:val="a4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GISSF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Wing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announce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6th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International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Conference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Advancements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Social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Management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Sciences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Research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”.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forum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established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discuss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issues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multidisciplinary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field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collaboration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emerging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trends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14:paraId="5B42B94E" w14:textId="77777777" w:rsidR="00514655" w:rsidRDefault="00514655">
                              <w:pPr>
                                <w:pStyle w:val="a4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invite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scholars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scientists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engineers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researchers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practitioners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students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join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share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new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innovative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trends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respective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field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common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platform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expected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bases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joint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venture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among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different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fields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serve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society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better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way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4D1B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14:paraId="29CBC10D" w14:textId="77777777" w:rsidR="00514655" w:rsidRDefault="00514655">
                              <w:pPr>
                                <w:pStyle w:val="a4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invite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scholars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become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session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moderators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following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tracks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5B653779" w14:textId="77777777" w:rsidR="00514655" w:rsidRDefault="005146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6B85AA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6E1CC43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4655" w14:paraId="3DACC3C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35"/>
                                <w:gridCol w:w="4705"/>
                              </w:tblGrid>
                              <w:tr w:rsidR="00514655" w14:paraId="47ADA22D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1EF38654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Social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Community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7F75077F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Environmental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14655" w14:paraId="57AE8656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6B3368BE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Arts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2E463D68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Organizational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14655" w14:paraId="0E22FD3C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5D647CFD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Civic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Political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731BD764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Educational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Communication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14655" w14:paraId="46B4FA3C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6F599B78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Humanities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5BAE3F08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Economics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Finance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Accounting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14655" w14:paraId="6F2BFEB7" w14:textId="77777777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27F0B1F4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Cultural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Global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57E7B588" w14:textId="77777777" w:rsidR="00514655" w:rsidRDefault="00514655">
                                    <w:pPr>
                                      <w:pStyle w:val="a4"/>
                                      <w:ind w:hanging="240"/>
                                    </w:pPr>
                                    <w:r>
                                      <w:rPr>
                                        <w:rFonts w:ascii="Symbol" w:hAnsi="Symbol"/>
                                        <w:color w:val="C03E30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C03E30"/>
                                        <w:sz w:val="14"/>
                                        <w:szCs w:val="14"/>
                                      </w:rPr>
                                      <w:t xml:space="preserve">    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C03E30"/>
                                        <w:sz w:val="23"/>
                                        <w:szCs w:val="23"/>
                                      </w:rPr>
                                      <w:t>﻿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Business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C03E30"/>
                                        <w:sz w:val="26"/>
                                        <w:szCs w:val="26"/>
                                      </w:rPr>
                                      <w:t>Studies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C03E3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5D7AA4B" w14:textId="77777777" w:rsidR="00514655" w:rsidRDefault="0051465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E09765" w14:textId="77777777" w:rsidR="00514655" w:rsidRDefault="005146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9FAF71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2941919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4655" w14:paraId="160E160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691A76DD" w14:textId="77777777" w:rsidR="00514655" w:rsidRDefault="00514655">
                              <w:pPr>
                                <w:pStyle w:val="a4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62B22"/>
                                  <w:sz w:val="29"/>
                                  <w:szCs w:val="29"/>
                                  <w:shd w:val="clear" w:color="auto" w:fill="FAD8D4"/>
                                </w:rPr>
                                <w:t>Registration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62B22"/>
                                  <w:sz w:val="29"/>
                                  <w:szCs w:val="29"/>
                                  <w:shd w:val="clear" w:color="auto" w:fill="FAD8D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62B22"/>
                                  <w:sz w:val="29"/>
                                  <w:szCs w:val="29"/>
                                  <w:shd w:val="clear" w:color="auto" w:fill="FAD8D4"/>
                                </w:rPr>
                                <w:t>Options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62B22"/>
                                  <w:sz w:val="29"/>
                                  <w:szCs w:val="29"/>
                                  <w:shd w:val="clear" w:color="auto" w:fill="FAD8D4"/>
                                </w:rPr>
                                <w:t>:</w:t>
                              </w:r>
                            </w:p>
                            <w:p w14:paraId="374EDCF2" w14:textId="77777777" w:rsidR="00514655" w:rsidRDefault="00514655">
                              <w:pPr>
                                <w:pStyle w:val="a4"/>
                                <w:ind w:hanging="240"/>
                              </w:pPr>
                              <w:r>
                                <w:rPr>
                                  <w:rFonts w:ascii="Symbol" w:hAnsi="Symbol"/>
                                  <w:color w:val="644B19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644B19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Abstract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Submission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February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07, 2024</w:t>
                              </w:r>
                            </w:p>
                            <w:p w14:paraId="677EEF87" w14:textId="77777777" w:rsidR="00514655" w:rsidRDefault="00514655">
                              <w:pPr>
                                <w:pStyle w:val="a4"/>
                                <w:ind w:hanging="240"/>
                              </w:pPr>
                              <w:r>
                                <w:rPr>
                                  <w:rFonts w:ascii="Symbol" w:hAnsi="Symbol"/>
                                  <w:color w:val="644B19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644B19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Full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Paper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Submission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February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10, 2024</w:t>
                              </w:r>
                            </w:p>
                            <w:p w14:paraId="0BB7F00D" w14:textId="77777777" w:rsidR="00514655" w:rsidRDefault="00514655">
                              <w:pPr>
                                <w:pStyle w:val="a4"/>
                                <w:ind w:hanging="240"/>
                              </w:pPr>
                              <w:r>
                                <w:rPr>
                                  <w:rFonts w:ascii="Symbol" w:hAnsi="Symbol"/>
                                  <w:color w:val="644B19"/>
                                  <w:sz w:val="20"/>
                                  <w:szCs w:val="20"/>
                                </w:rPr>
                                <w:t>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644B19"/>
                                  <w:sz w:val="14"/>
                                  <w:szCs w:val="14"/>
                                </w:rPr>
                                <w:t xml:space="preserve">    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Early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Bird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Discount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>January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bCs/>
                                  <w:color w:val="644B19"/>
                                  <w:sz w:val="27"/>
                                  <w:szCs w:val="27"/>
                                </w:rPr>
                                <w:t xml:space="preserve"> 15, 2024</w:t>
                              </w:r>
                            </w:p>
                            <w:p w14:paraId="2A80ECAE" w14:textId="77777777" w:rsidR="00514655" w:rsidRDefault="00514655">
                              <w:pPr>
                                <w:pStyle w:val="3"/>
                                <w:spacing w:before="0" w:beforeAutospacing="0" w:after="0" w:afterAutospacing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14:paraId="2F048D67" w14:textId="77777777" w:rsidR="00514655" w:rsidRDefault="00514655">
                              <w:pPr>
                                <w:pStyle w:val="a4"/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>Send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>submissions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C03E30"/>
                                  <w:sz w:val="26"/>
                                  <w:szCs w:val="26"/>
                                </w:rPr>
                                <w:t>: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284FA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rFonts w:ascii="Helvetica" w:hAnsi="Helvetica" w:cs="Helvetic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asbmsr@gissf.com</w:t>
                                </w:r>
                              </w:hyperlink>
                            </w:p>
                            <w:p w14:paraId="5CB1791D" w14:textId="77777777" w:rsidR="00514655" w:rsidRDefault="00514655">
                              <w:pPr>
                                <w:pStyle w:val="a4"/>
                              </w:pPr>
                              <w:r>
                                <w:rPr>
                                  <w:rFonts w:ascii="Helvetica" w:hAnsi="Helvetica" w:cs="Helvetica"/>
                                  <w:color w:val="606D78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1F803F6E" w14:textId="77777777" w:rsidR="00514655" w:rsidRDefault="00514655">
                              <w:pPr>
                                <w:pStyle w:val="a4"/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>Future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>Conferences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>Schedule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3862F"/>
                                  <w:sz w:val="23"/>
                                  <w:szCs w:val="23"/>
                                </w:rPr>
                                <w:t xml:space="preserve">: </w:t>
                              </w:r>
                              <w:hyperlink r:id="rId6" w:tgtFrame="_blank" w:history="1">
                                <w:r>
                                  <w:rPr>
                                    <w:rStyle w:val="a3"/>
                                    <w:rFonts w:ascii="Helvetica" w:hAnsi="Helvetica" w:cs="Helvetica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  <w:shd w:val="clear" w:color="auto" w:fill="C03E30"/>
                                  </w:rPr>
                                  <w:t> 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Helvetica" w:hAnsi="Helvetica" w:cs="Helvetica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  <w:shd w:val="clear" w:color="auto" w:fill="C03E30"/>
                                  </w:rPr>
                                  <w:t>Click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Helvetica" w:hAnsi="Helvetica" w:cs="Helvetica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  <w:shd w:val="clear" w:color="auto" w:fill="C03E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Helvetica" w:hAnsi="Helvetica" w:cs="Helvetica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  <w:shd w:val="clear" w:color="auto" w:fill="C03E30"/>
                                  </w:rPr>
                                  <w:t>Here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rFonts w:ascii="Helvetica" w:hAnsi="Helvetica" w:cs="Helvetica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  <w:shd w:val="clear" w:color="auto" w:fill="C03E30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</w:tr>
                      </w:tbl>
                      <w:p w14:paraId="35701E27" w14:textId="77777777" w:rsidR="00514655" w:rsidRDefault="005146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7A2185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15F62C3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514655" w14:paraId="3BB8ACE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C03E3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84"/>
                              </w:tblGrid>
                              <w:tr w:rsidR="00514655" w14:paraId="2939D23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03E30"/>
                                    <w:tcMar>
                                      <w:top w:w="150" w:type="dxa"/>
                                      <w:left w:w="600" w:type="dxa"/>
                                      <w:bottom w:w="150" w:type="dxa"/>
                                      <w:right w:w="600" w:type="dxa"/>
                                    </w:tcMar>
                                    <w:vAlign w:val="center"/>
                                    <w:hideMark/>
                                  </w:tcPr>
                                  <w:p w14:paraId="0F64CDDA" w14:textId="77777777" w:rsidR="00514655" w:rsidRDefault="00514655">
                                    <w:pPr>
                                      <w:pStyle w:val="a4"/>
                                      <w:jc w:val="center"/>
                                    </w:pPr>
                                    <w:hyperlink r:id="rId7" w:history="1">
                                      <w:proofErr w:type="spellStart"/>
                                      <w:r>
                                        <w:rPr>
                                          <w:rStyle w:val="a3"/>
                                          <w:rFonts w:ascii="Helvetica" w:hAnsi="Helvetica" w:cs="Helvetica"/>
                                          <w:b/>
                                          <w:bCs/>
                                          <w:color w:val="FFFFFF"/>
                                          <w:sz w:val="42"/>
                                          <w:szCs w:val="42"/>
                                        </w:rPr>
                                        <w:t>Register</w:t>
                                      </w:r>
                                      <w:proofErr w:type="spellEnd"/>
                                      <w:r>
                                        <w:rPr>
                                          <w:rStyle w:val="a3"/>
                                          <w:rFonts w:ascii="Helvetica" w:hAnsi="Helvetica" w:cs="Helvetica"/>
                                          <w:b/>
                                          <w:bCs/>
                                          <w:color w:val="FFFFFF"/>
                                          <w:sz w:val="42"/>
                                          <w:szCs w:val="4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a3"/>
                                          <w:rFonts w:ascii="Helvetica" w:hAnsi="Helvetica" w:cs="Helvetica"/>
                                          <w:b/>
                                          <w:bCs/>
                                          <w:color w:val="FFFFFF"/>
                                          <w:sz w:val="42"/>
                                          <w:szCs w:val="42"/>
                                        </w:rPr>
                                        <w:t>Now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A41DC99" w14:textId="77777777" w:rsidR="00514655" w:rsidRDefault="0051465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CDF329" w14:textId="77777777" w:rsidR="00514655" w:rsidRDefault="0051465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09DB12" w14:textId="77777777" w:rsidR="00514655" w:rsidRDefault="00514655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514655" w14:paraId="0FC4A32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14:paraId="35260CC5" w14:textId="77777777" w:rsidR="00514655" w:rsidRDefault="00514655">
                        <w:pPr>
                          <w:pStyle w:val="a4"/>
                          <w:jc w:val="center"/>
                        </w:pPr>
                        <w:r>
                          <w:t> </w:t>
                        </w:r>
                      </w:p>
                    </w:tc>
                  </w:tr>
                </w:tbl>
                <w:p w14:paraId="05B3005C" w14:textId="77777777" w:rsidR="00514655" w:rsidRDefault="005146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90A2F0" w14:textId="77777777" w:rsidR="00514655" w:rsidRDefault="00514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61269A" w14:textId="77777777" w:rsidR="00B636C0" w:rsidRDefault="00B636C0"/>
    <w:sectPr w:rsidR="00B6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55"/>
    <w:rsid w:val="00514655"/>
    <w:rsid w:val="00806E6E"/>
    <w:rsid w:val="00B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CD95"/>
  <w15:chartTrackingRefBased/>
  <w15:docId w15:val="{1A9547D3-F314-44BB-B6CF-7D6B101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4655"/>
    <w:pPr>
      <w:spacing w:after="0" w:line="240" w:lineRule="auto"/>
    </w:pPr>
    <w:rPr>
      <w:rFonts w:ascii="Calibri" w:hAnsi="Calibri" w:cs="Calibri"/>
      <w:lang w:val="ru-KZ" w:eastAsia="ru-KZ"/>
    </w:rPr>
  </w:style>
  <w:style w:type="paragraph" w:styleId="1">
    <w:name w:val="heading 1"/>
    <w:basedOn w:val="a"/>
    <w:link w:val="10"/>
    <w:uiPriority w:val="9"/>
    <w:qFormat/>
    <w:rsid w:val="005146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5146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55"/>
    <w:rPr>
      <w:rFonts w:ascii="Calibri" w:hAnsi="Calibri" w:cs="Calibri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semiHidden/>
    <w:rsid w:val="00514655"/>
    <w:rPr>
      <w:rFonts w:ascii="Calibri" w:hAnsi="Calibri" w:cs="Calibri"/>
      <w:b/>
      <w:bCs/>
      <w:sz w:val="27"/>
      <w:szCs w:val="27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5146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46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20.rs6.net/tn.jsp?f=001aP7xvf8GkwtB5OZ4wIzN5kJ-rPGw9sbZq6mKoSQXNRxRzVUAWjM-hVrhwsrOQxBuY50Vna1igx1OxlkyZ7xZ-VmntIpChwsEwF3vk5fwYOvRn3CJVyVbOSghDRU5rvB4C8Ngv0cxm11hKBKUwCjJuj-DYrVG6MXwwm16B-hsnL1XDK_0CASDfDAdDVTV3bbF&amp;c=WweSquYHm7QIpL0wx2yqr7Y8EGdmMycBZJZC2ozi9CU8WinaQCWMzg==&amp;ch=u1A_tX3ivVfnVQC5Tvo8gJdyfVOIAj1dcahI1Mt0EEE_1chJqsMRQg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20.rs6.net/tn.jsp?f=001aP7xvf8GkwtB5OZ4wIzN5kJ-rPGw9sbZq6mKoSQXNRxRzVUAWjM-hVrhwsrOQxBuUEobNhV7M5C2ClTuPDnPkFUUgTkm6rXBWZt_HZUw0rysvtdtjadhuVqOFUKXWEauseTqWWDy4zKQg9GaQT8uQH20DcYcamaDWJhpQ7FA1kM=&amp;c=WweSquYHm7QIpL0wx2yqr7Y8EGdmMycBZJZC2ozi9CU8WinaQCWMzg==&amp;ch=u1A_tX3ivVfnVQC5Tvo8gJdyfVOIAj1dcahI1Mt0EEE_1chJqsMRQg==" TargetMode="External"/><Relationship Id="rId5" Type="http://schemas.openxmlformats.org/officeDocument/2006/relationships/hyperlink" Target="mailto:asbmsr@gissf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Болатбек</dc:creator>
  <cp:keywords/>
  <dc:description/>
  <cp:lastModifiedBy>Динара Болатбек</cp:lastModifiedBy>
  <cp:revision>1</cp:revision>
  <dcterms:created xsi:type="dcterms:W3CDTF">2023-12-04T09:48:00Z</dcterms:created>
  <dcterms:modified xsi:type="dcterms:W3CDTF">2023-12-04T09:50:00Z</dcterms:modified>
</cp:coreProperties>
</file>